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0715">
      <w:pPr>
        <w:jc w:val="both"/>
      </w:pPr>
      <w:r>
        <w:t xml:space="preserve">    </w:t>
      </w:r>
    </w:p>
    <w:tbl>
      <w:tblPr>
        <w:tblW w:w="0" w:type="auto"/>
        <w:tblInd w:w="-318" w:type="dxa"/>
        <w:tblLayout w:type="fixed"/>
        <w:tblLook w:val="0000"/>
      </w:tblPr>
      <w:tblGrid>
        <w:gridCol w:w="4395"/>
        <w:gridCol w:w="1276"/>
        <w:gridCol w:w="4111"/>
      </w:tblGrid>
      <w:tr w:rsidR="00000000">
        <w:tc>
          <w:tcPr>
            <w:tcW w:w="4395" w:type="dxa"/>
            <w:shd w:val="clear" w:color="auto" w:fill="auto"/>
          </w:tcPr>
          <w:bookmarkStart w:id="0" w:name="_1129109745"/>
          <w:bookmarkStart w:id="1" w:name="_1129109705"/>
          <w:bookmarkStart w:id="2" w:name="_1129109658"/>
          <w:bookmarkStart w:id="3" w:name="_1129109585"/>
          <w:bookmarkEnd w:id="0"/>
          <w:bookmarkEnd w:id="1"/>
          <w:bookmarkEnd w:id="2"/>
          <w:bookmarkEnd w:id="3"/>
          <w:p w:rsidR="00000000" w:rsidRDefault="00690715">
            <w:pPr>
              <w:snapToGrid w:val="0"/>
              <w:jc w:val="center"/>
              <w:rPr>
                <w:sz w:val="22"/>
              </w:rPr>
            </w:pPr>
            <w:r>
              <w:object w:dxaOrig="3171" w:dyaOrig="9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24.75pt" o:ole="" filled="t">
                  <v:fill color2="black"/>
                  <v:imagedata r:id="rId5" o:title=""/>
                </v:shape>
                <o:OLEObject Type="Embed" ProgID="Word.Picture.8" ShapeID="_x0000_i1025" DrawAspect="Content" ObjectID="_1501063084" r:id="rId6"/>
              </w:object>
            </w:r>
          </w:p>
          <w:p w:rsidR="00000000" w:rsidRDefault="00690715">
            <w:pPr>
              <w:jc w:val="center"/>
              <w:rPr>
                <w:sz w:val="22"/>
              </w:rPr>
            </w:pPr>
          </w:p>
          <w:p w:rsidR="00000000" w:rsidRDefault="006907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ПЕНСИОННЫЙ  ФОНД</w:t>
            </w:r>
          </w:p>
          <w:p w:rsidR="00000000" w:rsidRDefault="00690715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РОССИЙСКОЙ  ФЕДЕРАЦИИ</w:t>
            </w:r>
          </w:p>
          <w:p w:rsidR="00000000" w:rsidRDefault="0069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Государственное  Учреждение</w:t>
            </w:r>
          </w:p>
          <w:p w:rsidR="00000000" w:rsidRDefault="0069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Управление</w:t>
            </w:r>
          </w:p>
          <w:p w:rsidR="00000000" w:rsidRDefault="0069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Пенсионного фонда</w:t>
            </w:r>
          </w:p>
          <w:p w:rsidR="00000000" w:rsidRDefault="0069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Российской  федерации</w:t>
            </w:r>
          </w:p>
          <w:p w:rsidR="00000000" w:rsidRDefault="0069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г. Каменск-Шахтинский</w:t>
            </w:r>
          </w:p>
          <w:p w:rsidR="00000000" w:rsidRDefault="00690715">
            <w:pPr>
              <w:jc w:val="center"/>
              <w:rPr>
                <w:sz w:val="22"/>
              </w:rPr>
            </w:pPr>
            <w:r>
              <w:rPr>
                <w:b/>
                <w:sz w:val="20"/>
              </w:rPr>
              <w:t>347800, г. Каменск-Шахтинский</w:t>
            </w:r>
          </w:p>
          <w:p w:rsidR="00000000" w:rsidRDefault="00690715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ул. Гагарина,  68</w:t>
            </w:r>
          </w:p>
          <w:p w:rsidR="00000000" w:rsidRDefault="00690715">
            <w:pPr>
              <w:jc w:val="center"/>
              <w:rPr>
                <w:sz w:val="16"/>
              </w:rPr>
            </w:pPr>
            <w:r>
              <w:rPr>
                <w:sz w:val="22"/>
              </w:rPr>
              <w:t>тел. 5-49-32    факс   7</w:t>
            </w:r>
            <w:r>
              <w:rPr>
                <w:sz w:val="22"/>
              </w:rPr>
              <w:t>-34-23</w:t>
            </w:r>
          </w:p>
          <w:p w:rsidR="00000000" w:rsidRDefault="00690715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ОГРН-1026102109208</w:t>
            </w:r>
          </w:p>
          <w:p w:rsidR="00000000" w:rsidRDefault="00690715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ИНН/КПП 6147020134/614701001</w:t>
            </w:r>
          </w:p>
          <w:p w:rsidR="00000000" w:rsidRDefault="00690715">
            <w:pPr>
              <w:jc w:val="center"/>
              <w:rPr>
                <w:sz w:val="16"/>
              </w:rPr>
            </w:pPr>
          </w:p>
          <w:p w:rsidR="00000000" w:rsidRDefault="00690715">
            <w:pPr>
              <w:pStyle w:val="1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>___________№  ТЛ/_____</w:t>
            </w:r>
          </w:p>
          <w:p w:rsidR="00000000" w:rsidRDefault="00690715">
            <w:pPr>
              <w:pStyle w:val="11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00000" w:rsidRDefault="00690715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00000" w:rsidRDefault="00690715">
            <w:pPr>
              <w:spacing w:line="360" w:lineRule="auto"/>
              <w:jc w:val="both"/>
              <w:rPr>
                <w:sz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000000" w:rsidRDefault="00690715">
            <w:pPr>
              <w:snapToGrid w:val="0"/>
              <w:jc w:val="both"/>
              <w:rPr>
                <w:sz w:val="28"/>
                <w:lang w:val="en-US"/>
              </w:rPr>
            </w:pPr>
          </w:p>
        </w:tc>
        <w:tc>
          <w:tcPr>
            <w:tcW w:w="4111" w:type="dxa"/>
            <w:shd w:val="clear" w:color="auto" w:fill="auto"/>
          </w:tcPr>
          <w:p w:rsidR="00000000" w:rsidRDefault="00690715">
            <w:pPr>
              <w:pStyle w:val="4"/>
              <w:snapToGrid w:val="0"/>
              <w:ind w:left="864" w:hanging="864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Главе администрации </w:t>
            </w:r>
          </w:p>
          <w:p w:rsidR="00000000" w:rsidRDefault="00690715">
            <w:pPr>
              <w:pStyle w:val="4"/>
              <w:snapToGrid w:val="0"/>
              <w:ind w:left="864" w:hanging="864"/>
              <w:jc w:val="right"/>
              <w:rPr>
                <w:lang w:val="ru-RU"/>
              </w:rPr>
            </w:pPr>
            <w:r>
              <w:rPr>
                <w:lang w:val="ru-RU"/>
              </w:rPr>
              <w:t>г.Каменск-Шахтинский</w:t>
            </w:r>
          </w:p>
          <w:p w:rsidR="00000000" w:rsidRDefault="00690715">
            <w:pPr>
              <w:snapToGrid w:val="0"/>
              <w:ind w:left="864" w:hanging="864"/>
              <w:jc w:val="right"/>
              <w:rPr>
                <w:sz w:val="28"/>
              </w:rPr>
            </w:pPr>
          </w:p>
          <w:p w:rsidR="00000000" w:rsidRDefault="00690715">
            <w:pPr>
              <w:snapToGrid w:val="0"/>
              <w:ind w:left="864" w:hanging="864"/>
              <w:jc w:val="right"/>
              <w:rPr>
                <w:sz w:val="28"/>
              </w:rPr>
            </w:pPr>
            <w:r>
              <w:rPr>
                <w:sz w:val="28"/>
              </w:rPr>
              <w:t>Ул. Ленина, 74</w:t>
            </w:r>
          </w:p>
          <w:p w:rsidR="00000000" w:rsidRDefault="00690715">
            <w:pPr>
              <w:pStyle w:val="4"/>
              <w:snapToGrid w:val="0"/>
              <w:ind w:left="864" w:hanging="864"/>
              <w:jc w:val="right"/>
              <w:rPr>
                <w:lang w:val="ru-RU"/>
              </w:rPr>
            </w:pPr>
            <w:r>
              <w:rPr>
                <w:lang w:val="ru-RU"/>
              </w:rPr>
              <w:t>Администрация</w:t>
            </w:r>
          </w:p>
          <w:p w:rsidR="00000000" w:rsidRDefault="00690715">
            <w:pPr>
              <w:snapToGrid w:val="0"/>
              <w:ind w:left="864" w:hanging="864"/>
              <w:jc w:val="right"/>
              <w:rPr>
                <w:sz w:val="28"/>
              </w:rPr>
            </w:pPr>
            <w:r>
              <w:rPr>
                <w:sz w:val="28"/>
              </w:rPr>
              <w:t>г.Каменск-Шахтинский</w:t>
            </w:r>
          </w:p>
          <w:p w:rsidR="00000000" w:rsidRDefault="00690715">
            <w:pPr>
              <w:snapToGrid w:val="0"/>
              <w:ind w:left="864" w:hanging="864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Ростовской области</w:t>
            </w:r>
          </w:p>
          <w:p w:rsidR="00000000" w:rsidRDefault="00690715">
            <w:pPr>
              <w:jc w:val="right"/>
              <w:rPr>
                <w:sz w:val="28"/>
                <w:szCs w:val="28"/>
              </w:rPr>
            </w:pPr>
          </w:p>
          <w:p w:rsidR="00000000" w:rsidRDefault="00690715">
            <w:pPr>
              <w:jc w:val="right"/>
              <w:rPr>
                <w:sz w:val="28"/>
                <w:szCs w:val="28"/>
              </w:rPr>
            </w:pPr>
          </w:p>
          <w:p w:rsidR="00000000" w:rsidRDefault="00690715">
            <w:pPr>
              <w:jc w:val="right"/>
              <w:rPr>
                <w:sz w:val="28"/>
                <w:szCs w:val="28"/>
              </w:rPr>
            </w:pPr>
          </w:p>
          <w:p w:rsidR="00000000" w:rsidRDefault="00690715">
            <w:pPr>
              <w:jc w:val="right"/>
              <w:rPr>
                <w:sz w:val="28"/>
              </w:rPr>
            </w:pPr>
          </w:p>
        </w:tc>
      </w:tr>
    </w:tbl>
    <w:p w:rsidR="00000000" w:rsidRDefault="00690715">
      <w:pPr>
        <w:spacing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4"/>
          <w:szCs w:val="24"/>
        </w:rPr>
        <w:tab/>
      </w:r>
      <w:r>
        <w:rPr>
          <w:iCs/>
          <w:color w:val="000000"/>
          <w:sz w:val="24"/>
          <w:szCs w:val="24"/>
        </w:rPr>
        <w:tab/>
      </w:r>
      <w:r>
        <w:rPr>
          <w:iCs/>
          <w:color w:val="000000"/>
          <w:sz w:val="24"/>
          <w:szCs w:val="24"/>
        </w:rPr>
        <w:tab/>
      </w:r>
      <w:r>
        <w:rPr>
          <w:iCs/>
          <w:color w:val="000000"/>
          <w:sz w:val="24"/>
          <w:szCs w:val="24"/>
        </w:rPr>
        <w:tab/>
      </w:r>
      <w:r>
        <w:rPr>
          <w:iCs/>
          <w:color w:val="000000"/>
          <w:sz w:val="28"/>
          <w:szCs w:val="28"/>
        </w:rPr>
        <w:t>Уважаемый Олег Эдуардович!</w:t>
      </w:r>
      <w:r>
        <w:rPr>
          <w:iCs/>
          <w:color w:val="000000"/>
          <w:sz w:val="28"/>
          <w:szCs w:val="28"/>
        </w:rPr>
        <w:tab/>
      </w:r>
    </w:p>
    <w:p w:rsidR="00000000" w:rsidRDefault="00690715">
      <w:pPr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Просим Вас разместить </w:t>
      </w:r>
      <w:r>
        <w:rPr>
          <w:iCs/>
          <w:color w:val="000000"/>
          <w:sz w:val="28"/>
          <w:szCs w:val="28"/>
        </w:rPr>
        <w:t>на сайте администрации следующую информацию:</w:t>
      </w:r>
    </w:p>
    <w:p w:rsidR="00000000" w:rsidRDefault="0069071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   </w:t>
      </w:r>
      <w:r>
        <w:rPr>
          <w:b/>
          <w:bCs/>
          <w:iCs/>
          <w:color w:val="000000"/>
          <w:sz w:val="28"/>
          <w:szCs w:val="28"/>
        </w:rPr>
        <w:t>Принята новая форма и форматы отчетности в ПФР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Территориальные органы ПФР продолжают прием от работодателей Единой формы отчетности (РСВ-1) за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полугодие 2015 года.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 Пенсионный фонд сообщает, ч</w:t>
      </w:r>
      <w:r>
        <w:rPr>
          <w:color w:val="000000"/>
          <w:sz w:val="28"/>
          <w:szCs w:val="28"/>
        </w:rPr>
        <w:t xml:space="preserve">то с </w:t>
      </w:r>
      <w:r>
        <w:rPr>
          <w:b/>
          <w:color w:val="000000"/>
          <w:sz w:val="28"/>
          <w:szCs w:val="28"/>
        </w:rPr>
        <w:t>7 августа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2015 года органы</w:t>
      </w:r>
      <w:r>
        <w:rPr>
          <w:color w:val="000000"/>
          <w:sz w:val="28"/>
          <w:szCs w:val="28"/>
        </w:rPr>
        <w:t xml:space="preserve"> ПФР принимают отчетность за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полугодие 2015 года </w:t>
      </w:r>
      <w:r>
        <w:rPr>
          <w:b/>
          <w:bCs/>
          <w:iCs/>
          <w:color w:val="000000"/>
          <w:sz w:val="28"/>
          <w:szCs w:val="28"/>
        </w:rPr>
        <w:t>только по новой форме</w:t>
      </w:r>
      <w:r>
        <w:rPr>
          <w:bCs/>
          <w:iCs/>
          <w:color w:val="000000"/>
          <w:sz w:val="28"/>
          <w:szCs w:val="28"/>
        </w:rPr>
        <w:t>,</w:t>
      </w:r>
      <w:r>
        <w:rPr>
          <w:b/>
          <w:bCs/>
          <w:iCs/>
          <w:color w:val="000000"/>
          <w:sz w:val="28"/>
          <w:szCs w:val="28"/>
        </w:rPr>
        <w:t xml:space="preserve"> с</w:t>
      </w:r>
      <w:r>
        <w:rPr>
          <w:b/>
          <w:color w:val="000000"/>
          <w:sz w:val="28"/>
          <w:szCs w:val="28"/>
        </w:rPr>
        <w:t xml:space="preserve"> 10 августа</w:t>
      </w:r>
      <w:r>
        <w:rPr>
          <w:color w:val="000000"/>
          <w:sz w:val="28"/>
          <w:szCs w:val="28"/>
        </w:rPr>
        <w:t xml:space="preserve"> – </w:t>
      </w:r>
      <w:r>
        <w:rPr>
          <w:b/>
          <w:bCs/>
          <w:iCs/>
          <w:color w:val="000000"/>
          <w:sz w:val="28"/>
          <w:szCs w:val="28"/>
        </w:rPr>
        <w:t>только по новым форматам</w:t>
      </w:r>
      <w:r>
        <w:rPr>
          <w:bCs/>
          <w:iCs/>
          <w:color w:val="000000"/>
          <w:sz w:val="28"/>
          <w:szCs w:val="28"/>
        </w:rPr>
        <w:t>.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Программы для подготовки и проверки отчетности, которые в значительной степени облегчают процесс подготовки и </w:t>
      </w:r>
      <w:r>
        <w:rPr>
          <w:color w:val="000000"/>
          <w:sz w:val="28"/>
          <w:szCs w:val="28"/>
        </w:rPr>
        <w:t xml:space="preserve">сдачи отчетности для плательщиков страховых взносов, размещены в свободном доступе на сайте Пенсионного фонда www.pfrf.ru в разделе «Электронные сервисы». 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Новая форма РСВ-1 принята в связи с изменениями в законодательстве о страховых взносах, поэтому при </w:t>
      </w:r>
      <w:r>
        <w:rPr>
          <w:color w:val="000000"/>
          <w:sz w:val="28"/>
          <w:szCs w:val="28"/>
        </w:rPr>
        <w:t>подготовке отчетности РСВ-1 следует обратить внимание на следующее.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2015 году прекратили свое действие пониженные тарифы (и соответствующие коды категорий застрахованных лиц), установленные для применения в 2012 - 2014 годах для плательщиков страховых вз</w:t>
      </w:r>
      <w:r>
        <w:rPr>
          <w:color w:val="000000"/>
          <w:sz w:val="28"/>
          <w:szCs w:val="28"/>
        </w:rPr>
        <w:t>носов, указанных в пункте 1-3 и пункте 7 части 1 статьи 58 Федерального закона от 24 июля 2009 года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</w:t>
      </w:r>
      <w:r>
        <w:rPr>
          <w:color w:val="000000"/>
          <w:sz w:val="28"/>
          <w:szCs w:val="28"/>
        </w:rPr>
        <w:t>цинского страхования» (далее – Федеральный закон № 212-ФЗ):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сельскохозяйственных товаропроизводителей, отвечающих критериям, указанным в статье 346.2 Налогового кодекса Российской Федерации;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для организаций народных художественных промыслов; 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сем</w:t>
      </w:r>
      <w:r>
        <w:rPr>
          <w:color w:val="000000"/>
          <w:sz w:val="28"/>
          <w:szCs w:val="28"/>
        </w:rPr>
        <w:t>ейных (родовых) общин коренных малочисленных народов Севера, Сибири и Дальнего Востока Российской Федерации, занимающихся традиционными отраслями хозяйствования;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организаций и индивидуальных предпринимателей, применяющих единый сельскохозяйственный н</w:t>
      </w:r>
      <w:r>
        <w:rPr>
          <w:color w:val="000000"/>
          <w:sz w:val="28"/>
          <w:szCs w:val="28"/>
        </w:rPr>
        <w:t>алог;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плательщиков страховых взносов, производящих выплаты и иные вознаграждения физическим лицам, являющимся инвалидами I, II или III группы, - в отношении указанных выплат и вознаграждений;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общественных организаций инвалидов;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организаци</w:t>
      </w:r>
      <w:r>
        <w:rPr>
          <w:color w:val="000000"/>
          <w:sz w:val="28"/>
          <w:szCs w:val="28"/>
        </w:rPr>
        <w:t>й, уставный капитал которых полностью состоит из вкладов общественных организаций инвалидов;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плательщиков страховых взносов - российских организаций и индивидуальных предпринимателей, осуществляющих производство, выпуск в свет (в эфир) и (или) издани</w:t>
      </w:r>
      <w:r>
        <w:rPr>
          <w:color w:val="000000"/>
          <w:sz w:val="28"/>
          <w:szCs w:val="28"/>
        </w:rPr>
        <w:t>е средств массовой информации (за исключением средств массовой информации, специализирующихся на сообщениях и материалах рекламного и (или) эротического характера).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Внесены изменения в статью 58.2 Федерального закона № 212-ФЗ в части </w:t>
      </w:r>
      <w:r>
        <w:rPr>
          <w:bCs/>
          <w:iCs/>
          <w:color w:val="000000"/>
          <w:sz w:val="28"/>
          <w:szCs w:val="28"/>
        </w:rPr>
        <w:t>отмены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1 января 2015</w:t>
      </w:r>
      <w:r>
        <w:rPr>
          <w:color w:val="000000"/>
          <w:sz w:val="28"/>
          <w:szCs w:val="28"/>
        </w:rPr>
        <w:t xml:space="preserve"> года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предельной величины базы</w:t>
      </w:r>
      <w:r>
        <w:rPr>
          <w:color w:val="000000"/>
          <w:sz w:val="28"/>
          <w:szCs w:val="28"/>
        </w:rPr>
        <w:t xml:space="preserve"> для начисления страховых взносов </w:t>
      </w:r>
      <w:r>
        <w:rPr>
          <w:bCs/>
          <w:iCs/>
          <w:color w:val="000000"/>
          <w:sz w:val="28"/>
          <w:szCs w:val="28"/>
        </w:rPr>
        <w:t>на обязательное медицинское страхование;</w:t>
      </w:r>
      <w:r>
        <w:rPr>
          <w:color w:val="000000"/>
          <w:sz w:val="28"/>
          <w:szCs w:val="28"/>
        </w:rPr>
        <w:t xml:space="preserve"> 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Федеральным законом от 28 июня 2014 года № 188-ФЗ (внесением изменений в статью 7 Федерального закона от 15 декабря 2001 года № 167-ФЗ) </w:t>
      </w:r>
      <w:r>
        <w:rPr>
          <w:bCs/>
          <w:iCs/>
          <w:color w:val="000000"/>
          <w:sz w:val="28"/>
          <w:szCs w:val="28"/>
        </w:rPr>
        <w:t>исключена</w:t>
      </w:r>
      <w:r>
        <w:rPr>
          <w:color w:val="000000"/>
          <w:sz w:val="28"/>
          <w:szCs w:val="28"/>
        </w:rPr>
        <w:t xml:space="preserve"> норм</w:t>
      </w:r>
      <w:r>
        <w:rPr>
          <w:color w:val="000000"/>
          <w:sz w:val="28"/>
          <w:szCs w:val="28"/>
        </w:rPr>
        <w:t xml:space="preserve">а, предусматривающая необходимый для уплаты страховых взносов </w:t>
      </w:r>
      <w:r>
        <w:rPr>
          <w:bCs/>
          <w:iCs/>
          <w:color w:val="000000"/>
          <w:sz w:val="28"/>
          <w:szCs w:val="28"/>
        </w:rPr>
        <w:t>шестимесячный срок заключения трудовых договоров</w:t>
      </w:r>
      <w:r>
        <w:rPr>
          <w:color w:val="000000"/>
          <w:sz w:val="28"/>
          <w:szCs w:val="28"/>
        </w:rPr>
        <w:t xml:space="preserve">, с </w:t>
      </w:r>
      <w:r>
        <w:rPr>
          <w:bCs/>
          <w:iCs/>
          <w:color w:val="000000"/>
          <w:sz w:val="28"/>
          <w:szCs w:val="28"/>
        </w:rPr>
        <w:t>иностранными гражданами и лицами без гражданства, временно пребывающими на территории Российской Федерации – обязательство уплаты страховых вз</w:t>
      </w:r>
      <w:r>
        <w:rPr>
          <w:bCs/>
          <w:iCs/>
          <w:color w:val="000000"/>
          <w:sz w:val="28"/>
          <w:szCs w:val="28"/>
        </w:rPr>
        <w:t xml:space="preserve">носов не зависит от срока заключения договора. 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Пенсионный фонд также напоминает, что с 1 января 2015 года Единую отчетность необходимо представлять в территориальные органы ПФР ежеквартально не позднее 15-го числа второго календарного месяца в бумажном ви</w:t>
      </w:r>
      <w:r>
        <w:rPr>
          <w:color w:val="000000"/>
          <w:sz w:val="28"/>
          <w:szCs w:val="28"/>
        </w:rPr>
        <w:t>де, а в форме электронного документа – не позднее 20 числа второго календарного месяца следующего за отчетным периодом (кварталом, полугодием, девятью месяцами и календарным годом). Если последний день срока приходится на выходной или нерабочий праздничный</w:t>
      </w:r>
      <w:r>
        <w:rPr>
          <w:color w:val="000000"/>
          <w:sz w:val="28"/>
          <w:szCs w:val="28"/>
        </w:rPr>
        <w:t xml:space="preserve"> день, то днем окончания срока считается ближайший следующий за ним рабочий день.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Указанная норма предполагает продление срока представления отчетности для плательщиков, представляющих отчетность в электронном виде. Если численность сотрудников превышает 2</w:t>
      </w:r>
      <w:r>
        <w:rPr>
          <w:color w:val="000000"/>
          <w:sz w:val="28"/>
          <w:szCs w:val="28"/>
        </w:rPr>
        <w:t>5 человек, отчетность необходимо представлять в электронном виде с электронной подписью.</w:t>
      </w:r>
    </w:p>
    <w:p w:rsidR="00000000" w:rsidRDefault="00690715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Таким образом, последними датами сдачи отчетности в бумажном виде в 2015 году являются 17 августа и 16 ноября, а при подаче отчетности в электронном виде – 20 августа </w:t>
      </w:r>
      <w:r>
        <w:rPr>
          <w:color w:val="000000"/>
          <w:sz w:val="28"/>
          <w:szCs w:val="28"/>
        </w:rPr>
        <w:t xml:space="preserve">и 20 ноября. В отношении плательщиков </w:t>
      </w:r>
      <w:r>
        <w:rPr>
          <w:color w:val="000000"/>
          <w:sz w:val="28"/>
          <w:szCs w:val="28"/>
        </w:rPr>
        <w:lastRenderedPageBreak/>
        <w:t>страховых взносов, нарушивших сроки представления отчетности, законодательство предусматривает применение штрафных санкций.</w:t>
      </w:r>
    </w:p>
    <w:p w:rsidR="00000000" w:rsidRDefault="00690715">
      <w:pPr>
        <w:pStyle w:val="ad"/>
        <w:spacing w:before="0" w:after="0" w:line="228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00000" w:rsidRDefault="00690715">
      <w:pPr>
        <w:pStyle w:val="ad"/>
        <w:spacing w:before="0" w:after="0" w:line="228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00000" w:rsidRDefault="00690715">
      <w:pPr>
        <w:pStyle w:val="ad"/>
        <w:spacing w:before="0" w:after="0" w:line="228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00000" w:rsidRDefault="00690715">
      <w:pPr>
        <w:pStyle w:val="ad"/>
        <w:spacing w:before="0" w:after="0" w:line="228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00000" w:rsidRDefault="00690715">
      <w:pPr>
        <w:jc w:val="both"/>
        <w:rPr>
          <w:sz w:val="28"/>
          <w:szCs w:val="28"/>
        </w:rPr>
      </w:pPr>
      <w:r>
        <w:rPr>
          <w:rFonts w:ascii="Arial" w:eastAsia="Arial" w:hAnsi="Arial" w:cs="Arial"/>
          <w:sz w:val="22"/>
          <w:szCs w:val="22"/>
        </w:rPr>
        <w:t xml:space="preserve">   </w:t>
      </w:r>
      <w:r>
        <w:rPr>
          <w:rFonts w:ascii="Arial" w:eastAsia="Arial" w:hAnsi="Arial" w:cs="Arial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Нач. ГУ УПФ РФ в</w:t>
      </w:r>
    </w:p>
    <w:p w:rsidR="00000000" w:rsidRDefault="006907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г.Каменск-Шахтинском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Т.А.Ливинская </w:t>
      </w:r>
    </w:p>
    <w:p w:rsidR="00000000" w:rsidRDefault="00690715">
      <w:pPr>
        <w:jc w:val="both"/>
        <w:rPr>
          <w:sz w:val="28"/>
          <w:szCs w:val="28"/>
        </w:rPr>
      </w:pPr>
    </w:p>
    <w:p w:rsidR="00000000" w:rsidRDefault="00690715">
      <w:pPr>
        <w:jc w:val="both"/>
        <w:rPr>
          <w:sz w:val="28"/>
          <w:szCs w:val="28"/>
        </w:rPr>
      </w:pPr>
    </w:p>
    <w:p w:rsidR="00000000" w:rsidRDefault="00690715">
      <w:pPr>
        <w:jc w:val="both"/>
        <w:rPr>
          <w:sz w:val="28"/>
          <w:szCs w:val="28"/>
        </w:rPr>
      </w:pPr>
    </w:p>
    <w:p w:rsidR="00000000" w:rsidRDefault="00690715">
      <w:pPr>
        <w:jc w:val="both"/>
        <w:rPr>
          <w:sz w:val="28"/>
          <w:szCs w:val="28"/>
        </w:rPr>
      </w:pPr>
    </w:p>
    <w:p w:rsidR="00000000" w:rsidRDefault="00690715">
      <w:pPr>
        <w:jc w:val="both"/>
        <w:rPr>
          <w:sz w:val="24"/>
          <w:szCs w:val="24"/>
        </w:rPr>
      </w:pPr>
    </w:p>
    <w:p w:rsidR="00000000" w:rsidRDefault="006907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000000" w:rsidRDefault="00690715">
      <w:pPr>
        <w:jc w:val="both"/>
        <w:rPr>
          <w:sz w:val="20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 xml:space="preserve">        </w:t>
      </w:r>
    </w:p>
    <w:p w:rsidR="00690715" w:rsidRDefault="00690715">
      <w:pPr>
        <w:jc w:val="both"/>
      </w:pPr>
      <w:r>
        <w:rPr>
          <w:sz w:val="20"/>
        </w:rPr>
        <w:t xml:space="preserve">        </w:t>
      </w:r>
    </w:p>
    <w:sectPr w:rsidR="00690715">
      <w:pgSz w:w="11906" w:h="16838"/>
      <w:pgMar w:top="284" w:right="1134" w:bottom="136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E470A6"/>
    <w:rsid w:val="00690715"/>
    <w:rsid w:val="00E4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32"/>
      <w:lang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-190" w:firstLine="0"/>
      <w:jc w:val="center"/>
      <w:outlineLvl w:val="3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1">
    <w:name w:val="Основной шрифт абзаца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character" w:customStyle="1" w:styleId="a4">
    <w:name w:val="Символ нумерации"/>
  </w:style>
  <w:style w:type="character" w:styleId="a5">
    <w:name w:val="Hyperlink"/>
    <w:basedOn w:val="1"/>
    <w:rPr>
      <w:color w:val="0000FF"/>
      <w:u w:val="single"/>
    </w:rPr>
  </w:style>
  <w:style w:type="character" w:styleId="a6">
    <w:name w:val="Strong"/>
    <w:basedOn w:val="1"/>
    <w:qFormat/>
    <w:rPr>
      <w:b/>
      <w:bCs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List"/>
    <w:basedOn w:val="a8"/>
    <w:rPr>
      <w:rFonts w:ascii="Arial" w:hAnsi="Arial" w:cs="Tahoma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0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11">
    <w:name w:val="Текст1"/>
    <w:basedOn w:val="a"/>
    <w:rPr>
      <w:rFonts w:ascii="Courier New" w:hAnsi="Courier New" w:cs="Courier New"/>
      <w:sz w:val="20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Normal (Web)"/>
    <w:basedOn w:val="a"/>
    <w:pPr>
      <w:spacing w:before="280" w:after="280"/>
    </w:pPr>
  </w:style>
  <w:style w:type="paragraph" w:styleId="ae">
    <w:name w:val="List Paragraph"/>
    <w:basedOn w:val="a"/>
    <w:qFormat/>
    <w:pPr>
      <w:ind w:left="708"/>
    </w:pPr>
    <w:rPr>
      <w:sz w:val="28"/>
    </w:rPr>
  </w:style>
  <w:style w:type="paragraph" w:styleId="af">
    <w:name w:val="Body Text Indent"/>
    <w:basedOn w:val="a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Обычный отступ1"/>
    <w:basedOn w:val="a"/>
    <w:pPr>
      <w:spacing w:line="360" w:lineRule="auto"/>
      <w:ind w:firstLine="624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729</Words>
  <Characters>4161</Characters>
  <Application>Microsoft Office Word</Application>
  <DocSecurity>0</DocSecurity>
  <Lines>34</Lines>
  <Paragraphs>9</Paragraphs>
  <ScaleCrop>false</ScaleCrop>
  <Company>Microsoft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Исх</dc:title>
  <dc:subject/>
  <dc:creator>1</dc:creator>
  <cp:keywords/>
  <dc:description/>
  <cp:lastModifiedBy>galanova</cp:lastModifiedBy>
  <cp:revision>2</cp:revision>
  <cp:lastPrinted>2013-04-10T07:34:00Z</cp:lastPrinted>
  <dcterms:created xsi:type="dcterms:W3CDTF">2015-08-14T10:12:00Z</dcterms:created>
  <dcterms:modified xsi:type="dcterms:W3CDTF">2015-08-14T10:12:00Z</dcterms:modified>
</cp:coreProperties>
</file>